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2</w:t>
      </w:r>
      <w:r>
        <w:rPr>
          <w:rFonts w:ascii="仿宋" w:hAnsi="仿宋" w:eastAsia="仿宋" w:cs="宋体"/>
          <w:bCs/>
          <w:kern w:val="0"/>
          <w:sz w:val="32"/>
          <w:szCs w:val="32"/>
        </w:rPr>
        <w:t>：</w:t>
      </w:r>
    </w:p>
    <w:p>
      <w:pPr>
        <w:pStyle w:val="3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应用案例、论文评比方案</w:t>
      </w:r>
    </w:p>
    <w:p/>
    <w:p>
      <w:pPr>
        <w:widowControl/>
        <w:ind w:firstLine="643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  <w:t>（一）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应用案例评比</w:t>
      </w:r>
    </w:p>
    <w:p>
      <w:pPr>
        <w:widowControl/>
        <w:ind w:firstLine="64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应用案例入围的参赛选手，以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PPT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汇报的方式，展示应用案例。汇报时间1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5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分钟，重点汇报应用案例的创新性、实用性、效益、可推广性等。专家现场咨询、参赛选手答疑（1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分钟）。最后由专家现场对应用案例进行打分评选，确定最终排名。</w:t>
      </w:r>
    </w:p>
    <w:p>
      <w:pPr>
        <w:widowControl/>
        <w:ind w:firstLine="64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评分标准：</w:t>
      </w:r>
    </w:p>
    <w:p>
      <w:pPr>
        <w:pStyle w:val="2"/>
        <w:spacing w:after="0" w:line="240" w:lineRule="auto"/>
        <w:ind w:firstLine="640"/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案例创新性（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30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分）、案例实用性（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30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分）、案例社会效益（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20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分）、案例推广性（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10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分）、案例影响力（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10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分）。</w:t>
      </w:r>
    </w:p>
    <w:p>
      <w:pPr>
        <w:widowControl/>
        <w:ind w:firstLine="643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  <w:t>（二）大会论文评选</w:t>
      </w:r>
    </w:p>
    <w:p>
      <w:pPr>
        <w:widowControl/>
        <w:ind w:firstLine="64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入围的论文应为原创、未在其他期刊或会议上发表，通过相关专家组成的评审团队的评选，确定获奖、推荐优秀期刊发表和现场宣讲的论文。评选将从学术水平、创新性、实用性及主题的符合性等方面进行综合评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，通过专家综合打分确定最终排名。</w:t>
      </w:r>
    </w:p>
    <w:p>
      <w:pPr>
        <w:widowControl/>
        <w:ind w:firstLine="64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评分标准：</w:t>
      </w:r>
    </w:p>
    <w:p>
      <w:pPr>
        <w:widowControl/>
        <w:ind w:firstLine="64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创新性（20分）、主题符合性（20分）、研究方法（20分）、论证与讨论（20分）、结构与语言（10分）、科学价值（10分）。</w:t>
      </w:r>
    </w:p>
    <w:p>
      <w:pPr>
        <w:widowControl/>
        <w:ind w:firstLine="643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仿宋_GB2312"/>
          <w:bCs/>
          <w:color w:val="000000"/>
          <w:kern w:val="0"/>
          <w:sz w:val="32"/>
          <w:szCs w:val="32"/>
        </w:rPr>
        <w:t>（三）奖项设置</w:t>
      </w:r>
    </w:p>
    <w:p>
      <w:pPr>
        <w:widowControl/>
        <w:ind w:firstLine="640"/>
        <w:jc w:val="left"/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（1）</w:t>
      </w:r>
      <w:r>
        <w:rPr>
          <w:rStyle w:val="6"/>
          <w:rFonts w:hint="eastAsia"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一</w:t>
      </w:r>
      <w:r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等奖1名，荣誉证书+奖金；</w:t>
      </w:r>
    </w:p>
    <w:p>
      <w:pPr>
        <w:widowControl/>
        <w:ind w:firstLine="640"/>
        <w:jc w:val="left"/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（2）</w:t>
      </w:r>
      <w:r>
        <w:rPr>
          <w:rStyle w:val="6"/>
          <w:rFonts w:hint="eastAsia"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二</w:t>
      </w:r>
      <w:r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等奖2名，荣誉证书+奖金；</w:t>
      </w:r>
    </w:p>
    <w:p>
      <w:pPr>
        <w:widowControl/>
        <w:ind w:firstLine="640"/>
        <w:jc w:val="left"/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（3）</w:t>
      </w:r>
      <w:r>
        <w:rPr>
          <w:rStyle w:val="6"/>
          <w:rFonts w:hint="eastAsia"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三</w:t>
      </w:r>
      <w:r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等奖3名，荣誉证书+奖金；</w:t>
      </w:r>
    </w:p>
    <w:p>
      <w:pPr>
        <w:widowControl/>
        <w:ind w:firstLine="640"/>
        <w:jc w:val="left"/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（4）优秀案例和论文奖若干名，荣誉证书；</w:t>
      </w:r>
    </w:p>
    <w:p>
      <w:pPr>
        <w:widowControl/>
        <w:ind w:firstLine="640"/>
        <w:jc w:val="left"/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（5）优秀导师奖若干名，荣誉证书；</w:t>
      </w:r>
    </w:p>
    <w:p>
      <w:pPr>
        <w:widowControl/>
        <w:ind w:firstLine="640"/>
        <w:jc w:val="left"/>
        <w:rPr>
          <w:i/>
          <w:iCs/>
          <w:sz w:val="32"/>
          <w:szCs w:val="32"/>
        </w:rPr>
      </w:pPr>
      <w:r>
        <w:rPr>
          <w:rStyle w:val="6"/>
          <w:rFonts w:ascii="仿宋" w:hAnsi="仿宋" w:eastAsia="仿宋" w:cs="仿宋_GB2312"/>
          <w:b w:val="0"/>
          <w:bCs w:val="0"/>
          <w:color w:val="000000"/>
          <w:kern w:val="0"/>
          <w:sz w:val="32"/>
          <w:szCs w:val="32"/>
        </w:rPr>
        <w:t>（6）优秀组织奖若干名，荣誉证书。</w:t>
      </w:r>
    </w:p>
    <w:p>
      <w:pPr>
        <w:widowControl/>
        <w:ind w:firstLine="480"/>
        <w:jc w:val="left"/>
        <w:rPr>
          <w:rFonts w:ascii="仿宋" w:hAnsi="仿宋" w:eastAsia="仿宋" w:cs="仿宋_GB2312"/>
          <w:i/>
          <w:iCs/>
          <w:color w:val="000000"/>
          <w:kern w:val="0"/>
          <w:sz w:val="24"/>
          <w:szCs w:val="24"/>
        </w:rPr>
      </w:pPr>
    </w:p>
    <w:p>
      <w:pPr>
        <w:widowControl/>
        <w:ind w:firstLine="480"/>
        <w:jc w:val="left"/>
        <w:rPr>
          <w:rStyle w:val="6"/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Style w:val="6"/>
          <w:rFonts w:ascii="仿宋" w:hAnsi="仿宋" w:cs="仿宋_GB2312"/>
          <w:sz w:val="32"/>
          <w:szCs w:val="32"/>
        </w:rPr>
        <w:t>注：应用案例和论文等均按照上述奖项设置分别进行奖励。</w:t>
      </w:r>
    </w:p>
    <w:p>
      <w:bookmarkStart w:id="0" w:name="_GoBack"/>
      <w:bookmarkEnd w:id="0"/>
    </w:p>
    <w:sectPr>
      <w:pgSz w:w="11906" w:h="16838"/>
      <w:pgMar w:top="1440" w:right="1440" w:bottom="1440" w:left="1440" w:header="0" w:footer="0" w:gutter="0"/>
      <w:cols w:space="720" w:num="1"/>
      <w:formProt w:val="0"/>
      <w:docGrid w:type="lines" w:linePitch="312" w:charSpace="1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TIxZjZiOTQyYmIzMDdlNWFmOGE3ZTEyMWQwNjMifQ=="/>
  </w:docVars>
  <w:rsids>
    <w:rsidRoot w:val="6766305F"/>
    <w:rsid w:val="676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 w:eastAsia="宋体" w:cs="Calibri"/>
      <w:szCs w:val="21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15"/>
    <w:basedOn w:val="5"/>
    <w:qFormat/>
    <w:uiPriority w:val="0"/>
    <w:rPr>
      <w:rFonts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2024-06-21T08:03:00Z</dcterms:created>
  <dc:creator>江苏省测绘地理信息学会</dc:creator>
  <cp:lastModifiedBy>江苏省测绘地理信息学会</cp:lastModifiedBy>
  <dcterms:modified xsi:type="dcterms:W3CDTF">2024-06-21T08:03:36Z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135EBDD7BCC24540AD7F346C7D56DB5A_11</vt:lpwstr>
  </property>
</Properties>
</file>